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8B1" w:rsidRPr="001A2059" w:rsidRDefault="005F48B1" w:rsidP="005F48B1">
      <w:pPr>
        <w:jc w:val="center"/>
        <w:rPr>
          <w:b/>
          <w:i/>
          <w:u w:val="single"/>
        </w:rPr>
      </w:pPr>
      <w:r w:rsidRPr="001A2059">
        <w:rPr>
          <w:b/>
          <w:i/>
          <w:u w:val="single"/>
        </w:rPr>
        <w:t>Brown v. Board of Education</w:t>
      </w:r>
      <w:r>
        <w:rPr>
          <w:b/>
          <w:i/>
          <w:u w:val="single"/>
        </w:rPr>
        <w:t xml:space="preserve"> Decision, 1954</w:t>
      </w:r>
    </w:p>
    <w:p w:rsidR="005F48B1" w:rsidRPr="001A2059" w:rsidRDefault="005F48B1" w:rsidP="005F48B1">
      <w:pPr>
        <w:pStyle w:val="NormalWeb"/>
        <w:rPr>
          <w:rFonts w:asciiTheme="minorHAnsi" w:hAnsiTheme="minorHAnsi"/>
          <w:sz w:val="22"/>
          <w:szCs w:val="22"/>
        </w:rPr>
      </w:pPr>
      <w:r>
        <w:t xml:space="preserve">. . . </w:t>
      </w:r>
      <w:r w:rsidRPr="001A2059">
        <w:rPr>
          <w:rFonts w:asciiTheme="minorHAnsi" w:hAnsiTheme="minorHAnsi"/>
          <w:sz w:val="22"/>
          <w:szCs w:val="22"/>
        </w:rPr>
        <w:t xml:space="preserve">In approaching this problem, we cannot turn the clock back to 1868, when the Amendment was adopted, or even to 1896, when </w:t>
      </w:r>
      <w:r w:rsidRPr="001A2059">
        <w:rPr>
          <w:rFonts w:asciiTheme="minorHAnsi" w:hAnsiTheme="minorHAnsi"/>
          <w:b/>
          <w:bCs/>
          <w:sz w:val="22"/>
          <w:szCs w:val="22"/>
        </w:rPr>
        <w:t>Plessy v. Ferguson</w:t>
      </w:r>
      <w:r w:rsidRPr="001A2059">
        <w:rPr>
          <w:rFonts w:asciiTheme="minorHAnsi" w:hAnsiTheme="minorHAnsi"/>
          <w:sz w:val="22"/>
          <w:szCs w:val="22"/>
        </w:rPr>
        <w:t xml:space="preserve"> was written. We must consider public education in the light of its full development and its present place in American life throughout the Nation. Only in this way can it be determined if segregation in public schools deprives these plaintiffs of the equal protection of the laws.</w:t>
      </w:r>
    </w:p>
    <w:p w:rsidR="005F48B1" w:rsidRPr="001A2059" w:rsidRDefault="005F48B1" w:rsidP="005F48B1">
      <w:pPr>
        <w:pStyle w:val="NormalWeb"/>
        <w:rPr>
          <w:rFonts w:asciiTheme="minorHAnsi" w:hAnsiTheme="minorHAnsi"/>
          <w:sz w:val="22"/>
          <w:szCs w:val="22"/>
        </w:rPr>
      </w:pPr>
      <w:r w:rsidRPr="001A2059">
        <w:rPr>
          <w:rFonts w:asciiTheme="minorHAnsi" w:hAnsiTheme="minorHAnsi"/>
          <w:sz w:val="22"/>
          <w:szCs w:val="22"/>
        </w:rPr>
        <w:t>Today, education is perhaps the most important function of state and local governments. Compulsory school attendance laws and the great expenditures for education both demonstrate our recognition of the importance of education to our democratic society. It is required in the performance of our most basic public responsibilities, even service in the armed forces. It is the very foundation of good citizenship. Today it is a principal instrument in awakening the child to cultural values, in preparing him for later professional training, and in helping him to adjust normally to his environment. In these days, it is doubtful that any child may reasonably be expected to succeed in life if he is denied the opportunity of an education. Such an opportunity, where the state has undertaken to provide it, is a right which must be made available to all on equal terms.</w:t>
      </w:r>
    </w:p>
    <w:p w:rsidR="005F48B1" w:rsidRPr="001A2059" w:rsidRDefault="005F48B1" w:rsidP="005F48B1">
      <w:pPr>
        <w:pStyle w:val="NormalWeb"/>
        <w:rPr>
          <w:rFonts w:asciiTheme="minorHAnsi" w:hAnsiTheme="minorHAnsi"/>
          <w:sz w:val="22"/>
          <w:szCs w:val="22"/>
        </w:rPr>
      </w:pPr>
      <w:r w:rsidRPr="001A2059">
        <w:rPr>
          <w:rFonts w:asciiTheme="minorHAnsi" w:hAnsiTheme="minorHAnsi"/>
          <w:sz w:val="22"/>
          <w:szCs w:val="22"/>
        </w:rPr>
        <w:t>We come then to the question presented: Does segregation of children in public schools solely on the basis of race, even though the physical facilities and other "tangible" factors may be equal, deprive the children of the minority group of equal educational opportunities? We believe that it does.</w:t>
      </w:r>
    </w:p>
    <w:p w:rsidR="005F48B1" w:rsidRPr="001A2059" w:rsidRDefault="005F48B1" w:rsidP="005F48B1">
      <w:pPr>
        <w:pStyle w:val="NormalWeb"/>
        <w:rPr>
          <w:rFonts w:asciiTheme="minorHAnsi" w:hAnsiTheme="minorHAnsi"/>
          <w:sz w:val="22"/>
          <w:szCs w:val="22"/>
        </w:rPr>
      </w:pPr>
      <w:r w:rsidRPr="001A2059">
        <w:rPr>
          <w:rFonts w:asciiTheme="minorHAnsi" w:hAnsiTheme="minorHAnsi"/>
          <w:sz w:val="22"/>
          <w:szCs w:val="22"/>
        </w:rPr>
        <w:t xml:space="preserve">In </w:t>
      </w:r>
      <w:r w:rsidRPr="001A2059">
        <w:rPr>
          <w:rFonts w:asciiTheme="minorHAnsi" w:hAnsiTheme="minorHAnsi"/>
          <w:b/>
          <w:bCs/>
          <w:sz w:val="22"/>
          <w:szCs w:val="22"/>
        </w:rPr>
        <w:t>Sweatt v. Painter</w:t>
      </w:r>
      <w:r w:rsidRPr="001A2059">
        <w:rPr>
          <w:rFonts w:asciiTheme="minorHAnsi" w:hAnsiTheme="minorHAnsi"/>
          <w:sz w:val="22"/>
          <w:szCs w:val="22"/>
        </w:rPr>
        <w:t xml:space="preserve">, supra, in finding that a segregated law school for Negroes could not provide them equal educational opportunities, this Court relied in large part on "those qualities which are incapable of objective measurement but which make for greatness in a law school." In </w:t>
      </w:r>
      <w:r w:rsidRPr="001A2059">
        <w:rPr>
          <w:rFonts w:asciiTheme="minorHAnsi" w:hAnsiTheme="minorHAnsi"/>
          <w:b/>
          <w:bCs/>
          <w:sz w:val="22"/>
          <w:szCs w:val="22"/>
        </w:rPr>
        <w:t>McLaurin v. Oklahoma State Regents</w:t>
      </w:r>
      <w:r w:rsidRPr="001A2059">
        <w:rPr>
          <w:rFonts w:asciiTheme="minorHAnsi" w:hAnsiTheme="minorHAnsi"/>
          <w:sz w:val="22"/>
          <w:szCs w:val="22"/>
        </w:rPr>
        <w:t>, supra, the Court, in requiring that a Negro admitted to a white graduate school be treated like all other students, again resorted to intangible considerations: ". . . his ability to study, to engage in discussions and exchange views with other students, and, in general, to learn his profession." Such considerations apply with added force to children in grade and high schools. To separate them from others of similar age and qualifications solely because of their race generates a feeling of inferiority as to their status in the community that may affect their hearts and minds in a way unlikely ever to be undone. The effect of this separation on their educational opportunities was well stated by a finding in the Kansas case by a court which nevertheless felt compelled to rule against the Negro plaintiffs:</w:t>
      </w:r>
    </w:p>
    <w:p w:rsidR="005F48B1" w:rsidRPr="001A2059" w:rsidRDefault="005F48B1" w:rsidP="005F48B1">
      <w:pPr>
        <w:pStyle w:val="NormalWeb"/>
        <w:rPr>
          <w:rFonts w:asciiTheme="minorHAnsi" w:hAnsiTheme="minorHAnsi"/>
          <w:sz w:val="22"/>
          <w:szCs w:val="22"/>
        </w:rPr>
      </w:pPr>
      <w:r w:rsidRPr="001A2059">
        <w:rPr>
          <w:rFonts w:asciiTheme="minorHAnsi" w:hAnsiTheme="minorHAnsi"/>
          <w:sz w:val="22"/>
          <w:szCs w:val="22"/>
        </w:rPr>
        <w:t xml:space="preserve">Segregation of white and colored children in public schools has a detrimental effect upon the colored children. The impact is greater when it has the sanction of the law, for the policy of separating the races is usually interpreted as denoting the inferiority of the </w:t>
      </w:r>
      <w:proofErr w:type="gramStart"/>
      <w:r w:rsidRPr="001A2059">
        <w:rPr>
          <w:rFonts w:asciiTheme="minorHAnsi" w:hAnsiTheme="minorHAnsi"/>
          <w:sz w:val="22"/>
          <w:szCs w:val="22"/>
        </w:rPr>
        <w:t>negro</w:t>
      </w:r>
      <w:proofErr w:type="gramEnd"/>
      <w:r w:rsidRPr="001A2059">
        <w:rPr>
          <w:rFonts w:asciiTheme="minorHAnsi" w:hAnsiTheme="minorHAnsi"/>
          <w:sz w:val="22"/>
          <w:szCs w:val="22"/>
        </w:rPr>
        <w:t xml:space="preserve"> group. A sense of inferiority affects the motivation of a child to learn. Segregation with the sanction of law, therefore, has a tendency to [retard] the educational and mental development of </w:t>
      </w:r>
      <w:proofErr w:type="gramStart"/>
      <w:r w:rsidRPr="001A2059">
        <w:rPr>
          <w:rFonts w:asciiTheme="minorHAnsi" w:hAnsiTheme="minorHAnsi"/>
          <w:sz w:val="22"/>
          <w:szCs w:val="22"/>
        </w:rPr>
        <w:t>negro</w:t>
      </w:r>
      <w:proofErr w:type="gramEnd"/>
      <w:r w:rsidRPr="001A2059">
        <w:rPr>
          <w:rFonts w:asciiTheme="minorHAnsi" w:hAnsiTheme="minorHAnsi"/>
          <w:sz w:val="22"/>
          <w:szCs w:val="22"/>
        </w:rPr>
        <w:t xml:space="preserve"> children and to deprive them of some of the benefits they would receive in a racial[ly] integrated school system.</w:t>
      </w:r>
    </w:p>
    <w:p w:rsidR="005F48B1" w:rsidRPr="001A2059" w:rsidRDefault="005F48B1" w:rsidP="005F48B1">
      <w:pPr>
        <w:pStyle w:val="NormalWeb"/>
        <w:rPr>
          <w:rFonts w:asciiTheme="minorHAnsi" w:hAnsiTheme="minorHAnsi"/>
          <w:sz w:val="22"/>
          <w:szCs w:val="22"/>
        </w:rPr>
      </w:pPr>
      <w:r w:rsidRPr="001A2059">
        <w:rPr>
          <w:rFonts w:asciiTheme="minorHAnsi" w:hAnsiTheme="minorHAnsi"/>
          <w:sz w:val="22"/>
          <w:szCs w:val="22"/>
        </w:rPr>
        <w:t xml:space="preserve">Whatever may have been the extent of psychological knowledge at the time of </w:t>
      </w:r>
      <w:r w:rsidRPr="001A2059">
        <w:rPr>
          <w:rFonts w:asciiTheme="minorHAnsi" w:hAnsiTheme="minorHAnsi"/>
          <w:b/>
          <w:bCs/>
          <w:sz w:val="22"/>
          <w:szCs w:val="22"/>
        </w:rPr>
        <w:t>Plessy v. Ferguson</w:t>
      </w:r>
      <w:r w:rsidRPr="001A2059">
        <w:rPr>
          <w:rFonts w:asciiTheme="minorHAnsi" w:hAnsiTheme="minorHAnsi"/>
          <w:sz w:val="22"/>
          <w:szCs w:val="22"/>
        </w:rPr>
        <w:t xml:space="preserve">, this finding is amply supported by modern authority. Any language in </w:t>
      </w:r>
      <w:r w:rsidRPr="001A2059">
        <w:rPr>
          <w:rFonts w:asciiTheme="minorHAnsi" w:hAnsiTheme="minorHAnsi"/>
          <w:b/>
          <w:bCs/>
          <w:sz w:val="22"/>
          <w:szCs w:val="22"/>
        </w:rPr>
        <w:t>Plessy v. Ferguson</w:t>
      </w:r>
      <w:r w:rsidRPr="001A2059">
        <w:rPr>
          <w:rFonts w:asciiTheme="minorHAnsi" w:hAnsiTheme="minorHAnsi"/>
          <w:sz w:val="22"/>
          <w:szCs w:val="22"/>
        </w:rPr>
        <w:t xml:space="preserve"> contrary to this finding is rejected.</w:t>
      </w:r>
    </w:p>
    <w:p w:rsidR="005F48B1" w:rsidRPr="001A2059" w:rsidRDefault="005F48B1" w:rsidP="005F48B1">
      <w:pPr>
        <w:pStyle w:val="NormalWeb"/>
        <w:rPr>
          <w:rFonts w:asciiTheme="minorHAnsi" w:hAnsiTheme="minorHAnsi"/>
          <w:sz w:val="22"/>
          <w:szCs w:val="22"/>
        </w:rPr>
      </w:pPr>
      <w:r w:rsidRPr="001A2059">
        <w:rPr>
          <w:rFonts w:asciiTheme="minorHAnsi" w:hAnsiTheme="minorHAnsi"/>
          <w:sz w:val="22"/>
          <w:szCs w:val="22"/>
        </w:rPr>
        <w:t>We conclude that, in the field of public education, the doctrine of "separate but equal" has no place. Separate educational facilities are inherently unequal. Therefore, we hold that the plaintiffs and others similarly situated for whom the actions have been brought are, by reason of the segregation complained of, deprived of the equal protection of the laws guaranteed by the Fourteenth Amendment. This disposition makes unnecessary any discussion whether such segregation also violates the Due Process Clause of the Fourteenth Amendment. . . .</w:t>
      </w:r>
    </w:p>
    <w:p w:rsidR="005F48B1" w:rsidRDefault="005F48B1" w:rsidP="0089201D">
      <w:pPr>
        <w:jc w:val="center"/>
        <w:rPr>
          <w:b/>
          <w:i/>
          <w:u w:val="single"/>
        </w:rPr>
      </w:pPr>
    </w:p>
    <w:p w:rsidR="005F48B1" w:rsidRDefault="005F48B1" w:rsidP="0089201D">
      <w:pPr>
        <w:jc w:val="center"/>
        <w:rPr>
          <w:b/>
          <w:i/>
          <w:u w:val="single"/>
        </w:rPr>
      </w:pPr>
    </w:p>
    <w:p w:rsidR="005F48B1" w:rsidRDefault="005F48B1" w:rsidP="0089201D">
      <w:pPr>
        <w:jc w:val="center"/>
        <w:rPr>
          <w:b/>
          <w:i/>
          <w:u w:val="single"/>
        </w:rPr>
      </w:pPr>
    </w:p>
    <w:p w:rsidR="005F48B1" w:rsidRDefault="005F48B1" w:rsidP="0089201D">
      <w:pPr>
        <w:jc w:val="center"/>
        <w:rPr>
          <w:b/>
          <w:i/>
          <w:u w:val="single"/>
        </w:rPr>
      </w:pPr>
    </w:p>
    <w:p w:rsidR="00B77341" w:rsidRDefault="0089201D" w:rsidP="0089201D">
      <w:pPr>
        <w:jc w:val="center"/>
        <w:rPr>
          <w:b/>
          <w:i/>
          <w:u w:val="single"/>
        </w:rPr>
      </w:pPr>
      <w:r>
        <w:rPr>
          <w:b/>
          <w:i/>
          <w:u w:val="single"/>
        </w:rPr>
        <w:lastRenderedPageBreak/>
        <w:t>Martin Luther King, Jr.’s, “I Have a Dream” Speech</w:t>
      </w:r>
      <w:r w:rsidR="0006545D">
        <w:rPr>
          <w:b/>
          <w:i/>
          <w:u w:val="single"/>
        </w:rPr>
        <w:t>, Aug. 28, 1963</w:t>
      </w:r>
    </w:p>
    <w:p w:rsidR="0006545D" w:rsidRDefault="0006545D" w:rsidP="0006545D">
      <w:pPr>
        <w:rPr>
          <w:i/>
        </w:rPr>
      </w:pPr>
      <w:r>
        <w:rPr>
          <w:i/>
        </w:rPr>
        <w:t>Note:  I believe that this speech is much more effective and eloquent if it is either heard or viewed.  Thus, you can use the following links to provide you with an audio clip and a video clip.  Further note that the text below is an excerpt, whereas the links below are the speech in its entirety.  Thus, you can listen/view the whole thing (approximately 16 minutes) or you can simply slide ahead and attempt to locate the beginning of the excerpt.</w:t>
      </w:r>
    </w:p>
    <w:p w:rsidR="0006545D" w:rsidRDefault="0006545D" w:rsidP="0006545D">
      <w:r w:rsidRPr="0006545D">
        <w:t>Audio</w:t>
      </w:r>
      <w:r>
        <w:rPr>
          <w:i/>
        </w:rPr>
        <w:t xml:space="preserve">:  </w:t>
      </w:r>
      <w:hyperlink r:id="rId4" w:history="1">
        <w:r w:rsidRPr="009A4940">
          <w:rPr>
            <w:rStyle w:val="Hyperlink"/>
          </w:rPr>
          <w:t>http://archive.org/details/MLKDream</w:t>
        </w:r>
      </w:hyperlink>
    </w:p>
    <w:p w:rsidR="0006545D" w:rsidRDefault="0006545D" w:rsidP="0006545D">
      <w:pPr>
        <w:rPr>
          <w:rStyle w:val="HTMLCite"/>
          <w:rFonts w:ascii="Arial" w:hAnsi="Arial" w:cs="Arial"/>
        </w:rPr>
      </w:pPr>
      <w:r>
        <w:t xml:space="preserve">Video:  </w:t>
      </w:r>
      <w:hyperlink r:id="rId5" w:history="1">
        <w:r w:rsidRPr="009A4940">
          <w:rPr>
            <w:rStyle w:val="Hyperlink"/>
            <w:rFonts w:ascii="Arial" w:hAnsi="Arial" w:cs="Arial"/>
          </w:rPr>
          <w:t>www.youtube.com/watch?v=smEqnnklfYs</w:t>
        </w:r>
      </w:hyperlink>
    </w:p>
    <w:p w:rsidR="0006545D" w:rsidRPr="0006545D" w:rsidRDefault="0006545D" w:rsidP="0006545D">
      <w:pPr>
        <w:pStyle w:val="NormalWeb"/>
        <w:rPr>
          <w:rFonts w:asciiTheme="minorHAnsi" w:hAnsiTheme="minorHAnsi"/>
          <w:sz w:val="22"/>
          <w:szCs w:val="22"/>
        </w:rPr>
      </w:pPr>
      <w:r>
        <w:rPr>
          <w:rFonts w:asciiTheme="minorHAnsi" w:hAnsiTheme="minorHAnsi"/>
          <w:sz w:val="22"/>
          <w:szCs w:val="22"/>
        </w:rPr>
        <w:t>. . . .</w:t>
      </w:r>
      <w:r w:rsidRPr="0006545D">
        <w:rPr>
          <w:rFonts w:asciiTheme="minorHAnsi" w:hAnsiTheme="minorHAnsi"/>
          <w:sz w:val="22"/>
          <w:szCs w:val="22"/>
        </w:rPr>
        <w:t>We must forever conduct our struggle on the high plane of dignity and discipline. We must not allow our creative protest to degenerate into physical violence. Again and again we must rise to the majestic heights of meeting physical force with soul force. The marvelous new militancy which has engulfed the Negro community must not lead us to a distrust of all white people, for many of our white brothers, as evidenced by their presence here today, have come to realize that their destiny is tied up with our destiny. They have come to realize that their freedom is inextricably bound to our freedom. We cannot walk alone.</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As we walk, we must make the pledge that we shall always march ahead. We cannot turn back. There are those who are asking the devotees of civil rights, "When will you be satisfied?" We can never be satisfied as long as the Negro is the victim of the unspeakable horrors of police brutality. We can never be satisfied, as long as our bodies, heavy with the fatigue of travel, cannot gain lodging in the motels of the highways and the hotels of the cities. We cannot be satisfied as long as the Negro's basic mobility is from a smaller ghetto to a larger one. We can never be satisfied as long as our children are stripped of their selfhood and robbed of their dignity by signs stating "For Whites Only". We cannot be satisfied as long as a Negro in Mississippi cannot vote and a Negro in New York believes he has nothing for which to vote. No, no, we are not satisfied, and we will not be satisfied until justice rolls down like waters and righteousness like a mighty stream.</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am not unmindful that some of you have come here out of great trials and tribulations. Some of you have come fresh from narrow jail cells. Some of you have come from areas where your quest for freedom left you battered by the storms of persecution and staggered by the winds of police brutality. You have been the veterans of creative suffering. Continue to work with the faith that unearned suffering is redemptive.</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Go back to Mississippi, go back to Alabama, go back to South Carolina, go back to Georgia, go back to Louisiana, go back to the slums and ghettos of our northern cities, knowing that somehow this situation can and will be changed. Let us not wallow in the valley of despair.</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say to you today, my friends, so even though we face the difficulties of today and tomorrow, I still have a dream. It is a dream deeply rooted in the American dream.</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have a dream that one day this nation will rise up and live out the true meaning of its creed: "We hold these truths to be self-evident: that all men are created equal."</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have a dream that one day on the red hills of Georgia the sons of former slaves and the sons of former slave owners will be able to sit down together at the table of brotherhood.</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have a dream that one day even the state of Mississippi, a state sweltering with the heat of injustice, sweltering with the heat of oppression, will be transformed into an oasis of freedom and justice.</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have a dream that my four little children will one day live in a nation where they will not be judged by the color of their skin but by the content of their character.</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lastRenderedPageBreak/>
        <w:t>I have a dream today.</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have a dream that one day, down in Alabama, with its vicious racists, with its governor having his lips dripping with the words of interposition and nullification; one day right there in Alabama, little black boys and black girls will be able to join hands with little white boys and white girls as sisters and brothers.</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have a dream today.</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I have a dream that one day every valley shall be exalted, every hill and mountain shall be made low, the rough places will be made plain, and the crooked places will be made straight, and the glory of the Lord shall be revealed, and all flesh shall see it together.</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This is our hope. This is the faith that I go back to the South with. 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This will be the day when all of God's children will be able to sing with a new meaning, "My country, 'tis of thee, sweet land of liberty, of thee I sing. Land where my fathers died, land of the pilgrim's pride, from every mountainside, let freedom ring."</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And if America is to be a great nation this must become true. So let freedom ring from the prodigious hilltops of New Hampshire. Let freedom ring from the mighty mountains of New York. Let freedom ring from the heightening Alleghenies of Pennsylvania!</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Let freedom ring from the snowcapped Rockies of Colorado!</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Let freedom ring from the curvaceous slopes of California!</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But not only that; let freedom ring from Stone Mountain of Georgia!</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Let freedom ring from Lookout Mountain of Tennessee!</w:t>
      </w:r>
    </w:p>
    <w:p w:rsidR="0006545D" w:rsidRPr="0006545D" w:rsidRDefault="0006545D" w:rsidP="0006545D">
      <w:pPr>
        <w:pStyle w:val="NormalWeb"/>
        <w:rPr>
          <w:rFonts w:asciiTheme="minorHAnsi" w:hAnsiTheme="minorHAnsi"/>
          <w:sz w:val="22"/>
          <w:szCs w:val="22"/>
        </w:rPr>
      </w:pPr>
      <w:r w:rsidRPr="0006545D">
        <w:rPr>
          <w:rFonts w:asciiTheme="minorHAnsi" w:hAnsiTheme="minorHAnsi"/>
          <w:sz w:val="22"/>
          <w:szCs w:val="22"/>
        </w:rPr>
        <w:t>Let freedom ring from every hill and molehill of Mississippi. From every mountainside, let freedom ring.</w:t>
      </w:r>
    </w:p>
    <w:p w:rsidR="0006545D" w:rsidRDefault="0006545D" w:rsidP="0006545D">
      <w:pPr>
        <w:pStyle w:val="NormalWeb"/>
        <w:rPr>
          <w:rFonts w:asciiTheme="minorHAnsi" w:hAnsiTheme="minorHAnsi"/>
          <w:sz w:val="22"/>
          <w:szCs w:val="22"/>
        </w:rPr>
      </w:pPr>
      <w:r w:rsidRPr="0006545D">
        <w:rPr>
          <w:rFonts w:asciiTheme="minorHAnsi" w:hAnsiTheme="minorHAnsi"/>
          <w:sz w:val="22"/>
          <w:szCs w:val="22"/>
        </w:rPr>
        <w:t>And when this happens, when we allow freedom to ring, when we let it ring from every village and every hamlet, from every state and every city, we will be able to speed up that day when all of God's children, black men and white men, Jews and Gentiles, Protestants and Catholics, will be able to join hands and sing in the words of the old Negro spiritual, "Free at last! Free at last! Thank God Almighty, we are free at last!"</w:t>
      </w:r>
    </w:p>
    <w:p w:rsidR="002D46C9" w:rsidRDefault="002D46C9">
      <w:pPr>
        <w:rPr>
          <w:rFonts w:eastAsia="Times New Roman" w:cs="Times New Roman"/>
        </w:rPr>
      </w:pPr>
      <w:r>
        <w:br w:type="page"/>
      </w:r>
    </w:p>
    <w:p w:rsidR="002D46C9" w:rsidRDefault="002D46C9" w:rsidP="002D46C9">
      <w:pPr>
        <w:pStyle w:val="NormalWeb"/>
        <w:jc w:val="center"/>
        <w:rPr>
          <w:rFonts w:asciiTheme="minorHAnsi" w:hAnsiTheme="minorHAnsi"/>
          <w:sz w:val="22"/>
          <w:szCs w:val="22"/>
        </w:rPr>
      </w:pPr>
      <w:bookmarkStart w:id="0" w:name="_GoBack"/>
      <w:bookmarkEnd w:id="0"/>
      <w:r>
        <w:rPr>
          <w:rFonts w:asciiTheme="minorHAnsi" w:hAnsiTheme="minorHAnsi"/>
          <w:b/>
          <w:i/>
          <w:sz w:val="22"/>
          <w:szCs w:val="22"/>
          <w:u w:val="single"/>
        </w:rPr>
        <w:lastRenderedPageBreak/>
        <w:t>Images of Vietnam</w:t>
      </w:r>
    </w:p>
    <w:p w:rsidR="002D46C9" w:rsidRPr="002D46C9" w:rsidRDefault="002D46C9" w:rsidP="002D46C9">
      <w:pPr>
        <w:pStyle w:val="NormalWeb"/>
        <w:jc w:val="center"/>
        <w:rPr>
          <w:rFonts w:asciiTheme="minorHAnsi" w:hAnsiTheme="minorHAnsi"/>
          <w:sz w:val="22"/>
          <w:szCs w:val="22"/>
        </w:rPr>
      </w:pPr>
      <w:r>
        <w:rPr>
          <w:rFonts w:ascii="Arial" w:hAnsi="Arial" w:cs="Arial"/>
          <w:noProof/>
          <w:sz w:val="20"/>
          <w:szCs w:val="20"/>
        </w:rPr>
        <w:drawing>
          <wp:inline distT="0" distB="0" distL="0" distR="0">
            <wp:extent cx="5920154" cy="3848100"/>
            <wp:effectExtent l="19050" t="0" r="4396" b="0"/>
            <wp:docPr id="5" name="il_fi" descr="http://upload.wikimedia.org/wikipedia/en/thumb/3/38/Th%C3%ADch_Qu%E1%BA%A3ng_%C4%90%E1%BB%A9c_self-immolation.jpg/300px-Th%C3%ADch_Qu%E1%BA%A3ng_%C4%90%E1%BB%A9c_self-immo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en/thumb/3/38/Th%C3%ADch_Qu%E1%BA%A3ng_%C4%90%E1%BB%A9c_self-immolation.jpg/300px-Th%C3%ADch_Qu%E1%BA%A3ng_%C4%90%E1%BB%A9c_self-immolation.jpg"/>
                    <pic:cNvPicPr>
                      <a:picLocks noChangeAspect="1" noChangeArrowheads="1"/>
                    </pic:cNvPicPr>
                  </pic:nvPicPr>
                  <pic:blipFill>
                    <a:blip r:embed="rId6" cstate="print"/>
                    <a:srcRect/>
                    <a:stretch>
                      <a:fillRect/>
                    </a:stretch>
                  </pic:blipFill>
                  <pic:spPr bwMode="auto">
                    <a:xfrm>
                      <a:off x="0" y="0"/>
                      <a:ext cx="5920154" cy="3848100"/>
                    </a:xfrm>
                    <a:prstGeom prst="rect">
                      <a:avLst/>
                    </a:prstGeom>
                    <a:noFill/>
                    <a:ln w="9525">
                      <a:noFill/>
                      <a:miter lim="800000"/>
                      <a:headEnd/>
                      <a:tailEnd/>
                    </a:ln>
                  </pic:spPr>
                </pic:pic>
              </a:graphicData>
            </a:graphic>
          </wp:inline>
        </w:drawing>
      </w:r>
    </w:p>
    <w:p w:rsidR="0006545D" w:rsidRDefault="0006545D" w:rsidP="0006545D"/>
    <w:p w:rsidR="00CA5972" w:rsidRDefault="00CA5972" w:rsidP="00CA5972">
      <w:pPr>
        <w:jc w:val="center"/>
      </w:pPr>
      <w:r>
        <w:rPr>
          <w:rFonts w:ascii="Arial" w:hAnsi="Arial" w:cs="Arial"/>
          <w:noProof/>
          <w:sz w:val="20"/>
          <w:szCs w:val="20"/>
        </w:rPr>
        <w:drawing>
          <wp:inline distT="0" distB="0" distL="0" distR="0">
            <wp:extent cx="5212292" cy="3752850"/>
            <wp:effectExtent l="19050" t="0" r="7408" b="0"/>
            <wp:docPr id="8" name="il_fi" descr="http://www.onthisdeity.com/wp-content/uploads/2011/01/TetOffens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nthisdeity.com/wp-content/uploads/2011/01/TetOffensive.jpg"/>
                    <pic:cNvPicPr>
                      <a:picLocks noChangeAspect="1" noChangeArrowheads="1"/>
                    </pic:cNvPicPr>
                  </pic:nvPicPr>
                  <pic:blipFill>
                    <a:blip r:embed="rId7" cstate="print"/>
                    <a:srcRect/>
                    <a:stretch>
                      <a:fillRect/>
                    </a:stretch>
                  </pic:blipFill>
                  <pic:spPr bwMode="auto">
                    <a:xfrm>
                      <a:off x="0" y="0"/>
                      <a:ext cx="5212292" cy="3752850"/>
                    </a:xfrm>
                    <a:prstGeom prst="rect">
                      <a:avLst/>
                    </a:prstGeom>
                    <a:noFill/>
                    <a:ln w="9525">
                      <a:noFill/>
                      <a:miter lim="800000"/>
                      <a:headEnd/>
                      <a:tailEnd/>
                    </a:ln>
                  </pic:spPr>
                </pic:pic>
              </a:graphicData>
            </a:graphic>
          </wp:inline>
        </w:drawing>
      </w:r>
    </w:p>
    <w:p w:rsidR="00CA5972" w:rsidRDefault="00CA5972">
      <w:r>
        <w:br w:type="page"/>
      </w:r>
    </w:p>
    <w:p w:rsidR="00CA5972" w:rsidRPr="000E464F" w:rsidRDefault="00CA5972" w:rsidP="00CA5972">
      <w:pPr>
        <w:jc w:val="center"/>
        <w:rPr>
          <w:b/>
          <w:i/>
          <w:u w:val="single"/>
        </w:rPr>
      </w:pPr>
      <w:r w:rsidRPr="000E464F">
        <w:rPr>
          <w:b/>
          <w:i/>
          <w:u w:val="single"/>
        </w:rPr>
        <w:lastRenderedPageBreak/>
        <w:t>“Ohio” by Crosby, Stills, Nash and Young</w:t>
      </w:r>
      <w:r w:rsidR="007454E8">
        <w:rPr>
          <w:b/>
          <w:i/>
          <w:u w:val="single"/>
        </w:rPr>
        <w:t>, 1970</w:t>
      </w:r>
    </w:p>
    <w:p w:rsidR="00CA5972" w:rsidRDefault="00CA5972" w:rsidP="00CA5972">
      <w:pPr>
        <w:rPr>
          <w:i/>
        </w:rPr>
      </w:pPr>
      <w:r>
        <w:rPr>
          <w:i/>
        </w:rPr>
        <w:t>Note:  This was a very powerful song written in response to a tragic event.  Many of you have likely heard this song before.  If you wish to listen to it, please follow the link below.  If not, simply read and answer the questions.</w:t>
      </w:r>
    </w:p>
    <w:p w:rsidR="00903D80" w:rsidRDefault="00462532" w:rsidP="00903D80">
      <w:pPr>
        <w:jc w:val="center"/>
      </w:pPr>
      <w:hyperlink r:id="rId8" w:history="1">
        <w:r w:rsidR="00903D80" w:rsidRPr="009A7D85">
          <w:rPr>
            <w:rStyle w:val="Hyperlink"/>
          </w:rPr>
          <w:t>http://www.youtube.com/watch?v=X8JPPpFmeYY</w:t>
        </w:r>
      </w:hyperlink>
    </w:p>
    <w:p w:rsidR="00CA5972" w:rsidRDefault="00CA5972" w:rsidP="00CA5972">
      <w:pPr>
        <w:pStyle w:val="cnt1"/>
        <w:shd w:val="clear" w:color="auto" w:fill="FFFFFF"/>
        <w:jc w:val="center"/>
        <w:rPr>
          <w:sz w:val="24"/>
          <w:szCs w:val="24"/>
        </w:rPr>
      </w:pPr>
      <w:r w:rsidRPr="0053149E">
        <w:rPr>
          <w:sz w:val="24"/>
          <w:szCs w:val="24"/>
        </w:rPr>
        <w:t>Tin soldiers and Nixon coming,</w:t>
      </w:r>
      <w:r w:rsidRPr="0053149E">
        <w:rPr>
          <w:sz w:val="24"/>
          <w:szCs w:val="24"/>
        </w:rPr>
        <w:br/>
        <w:t>We're finally on our own.</w:t>
      </w:r>
      <w:r w:rsidRPr="0053149E">
        <w:rPr>
          <w:sz w:val="24"/>
          <w:szCs w:val="24"/>
        </w:rPr>
        <w:br/>
        <w:t>This summer I hear the drumming</w:t>
      </w:r>
      <w:proofErr w:type="gramStart"/>
      <w:r w:rsidRPr="0053149E">
        <w:rPr>
          <w:sz w:val="24"/>
          <w:szCs w:val="24"/>
        </w:rPr>
        <w:t>,</w:t>
      </w:r>
      <w:proofErr w:type="gramEnd"/>
      <w:r w:rsidRPr="0053149E">
        <w:rPr>
          <w:sz w:val="24"/>
          <w:szCs w:val="24"/>
        </w:rPr>
        <w:br/>
        <w:t xml:space="preserve">Four dead in </w:t>
      </w:r>
      <w:smartTag w:uri="urn:schemas-microsoft-com:office:smarttags" w:element="State">
        <w:smartTag w:uri="urn:schemas-microsoft-com:office:smarttags" w:element="place">
          <w:r w:rsidRPr="0053149E">
            <w:rPr>
              <w:sz w:val="24"/>
              <w:szCs w:val="24"/>
            </w:rPr>
            <w:t>Ohio</w:t>
          </w:r>
        </w:smartTag>
      </w:smartTag>
      <w:r w:rsidRPr="0053149E">
        <w:rPr>
          <w:sz w:val="24"/>
          <w:szCs w:val="24"/>
        </w:rPr>
        <w:t>.</w:t>
      </w:r>
      <w:r w:rsidRPr="0053149E">
        <w:rPr>
          <w:sz w:val="24"/>
          <w:szCs w:val="24"/>
        </w:rPr>
        <w:br/>
      </w:r>
      <w:r w:rsidRPr="0053149E">
        <w:rPr>
          <w:sz w:val="24"/>
          <w:szCs w:val="24"/>
        </w:rPr>
        <w:br/>
        <w:t>Gotta get down to it</w:t>
      </w:r>
      <w:r w:rsidRPr="0053149E">
        <w:rPr>
          <w:sz w:val="24"/>
          <w:szCs w:val="24"/>
        </w:rPr>
        <w:br/>
        <w:t>Soldiers are cutting us down</w:t>
      </w:r>
      <w:r w:rsidRPr="0053149E">
        <w:rPr>
          <w:sz w:val="24"/>
          <w:szCs w:val="24"/>
        </w:rPr>
        <w:br/>
      </w:r>
      <w:proofErr w:type="gramStart"/>
      <w:r w:rsidRPr="0053149E">
        <w:rPr>
          <w:sz w:val="24"/>
          <w:szCs w:val="24"/>
        </w:rPr>
        <w:t>Should</w:t>
      </w:r>
      <w:proofErr w:type="gramEnd"/>
      <w:r w:rsidRPr="0053149E">
        <w:rPr>
          <w:sz w:val="24"/>
          <w:szCs w:val="24"/>
        </w:rPr>
        <w:t xml:space="preserve"> have been done long ago.</w:t>
      </w:r>
      <w:r w:rsidRPr="0053149E">
        <w:rPr>
          <w:sz w:val="24"/>
          <w:szCs w:val="24"/>
        </w:rPr>
        <w:br/>
        <w:t>What if you knew her</w:t>
      </w:r>
      <w:r w:rsidRPr="0053149E">
        <w:rPr>
          <w:sz w:val="24"/>
          <w:szCs w:val="24"/>
        </w:rPr>
        <w:br/>
      </w:r>
      <w:proofErr w:type="gramStart"/>
      <w:r w:rsidRPr="0053149E">
        <w:rPr>
          <w:sz w:val="24"/>
          <w:szCs w:val="24"/>
        </w:rPr>
        <w:t>And</w:t>
      </w:r>
      <w:proofErr w:type="gramEnd"/>
      <w:r w:rsidRPr="0053149E">
        <w:rPr>
          <w:sz w:val="24"/>
          <w:szCs w:val="24"/>
        </w:rPr>
        <w:t xml:space="preserve"> found her dead on the ground</w:t>
      </w:r>
      <w:r w:rsidRPr="0053149E">
        <w:rPr>
          <w:sz w:val="24"/>
          <w:szCs w:val="24"/>
        </w:rPr>
        <w:br/>
        <w:t>How can you run when you know?</w:t>
      </w:r>
      <w:r w:rsidRPr="0053149E">
        <w:rPr>
          <w:sz w:val="24"/>
          <w:szCs w:val="24"/>
        </w:rPr>
        <w:br/>
      </w:r>
      <w:r w:rsidRPr="0053149E">
        <w:rPr>
          <w:sz w:val="24"/>
          <w:szCs w:val="24"/>
        </w:rPr>
        <w:br/>
        <w:t>Gotta get down to it</w:t>
      </w:r>
      <w:r w:rsidRPr="0053149E">
        <w:rPr>
          <w:sz w:val="24"/>
          <w:szCs w:val="24"/>
        </w:rPr>
        <w:br/>
        <w:t>Soldiers are cutting us down</w:t>
      </w:r>
      <w:r w:rsidRPr="0053149E">
        <w:rPr>
          <w:sz w:val="24"/>
          <w:szCs w:val="24"/>
        </w:rPr>
        <w:br/>
      </w:r>
      <w:proofErr w:type="gramStart"/>
      <w:r w:rsidRPr="0053149E">
        <w:rPr>
          <w:sz w:val="24"/>
          <w:szCs w:val="24"/>
        </w:rPr>
        <w:t>Should</w:t>
      </w:r>
      <w:proofErr w:type="gramEnd"/>
      <w:r w:rsidRPr="0053149E">
        <w:rPr>
          <w:sz w:val="24"/>
          <w:szCs w:val="24"/>
        </w:rPr>
        <w:t xml:space="preserve"> have been done long ago.</w:t>
      </w:r>
      <w:r w:rsidRPr="0053149E">
        <w:rPr>
          <w:sz w:val="24"/>
          <w:szCs w:val="24"/>
        </w:rPr>
        <w:br/>
        <w:t>What if you knew her</w:t>
      </w:r>
      <w:r w:rsidRPr="0053149E">
        <w:rPr>
          <w:sz w:val="24"/>
          <w:szCs w:val="24"/>
        </w:rPr>
        <w:br/>
      </w:r>
      <w:proofErr w:type="gramStart"/>
      <w:r w:rsidRPr="0053149E">
        <w:rPr>
          <w:sz w:val="24"/>
          <w:szCs w:val="24"/>
        </w:rPr>
        <w:t>And</w:t>
      </w:r>
      <w:proofErr w:type="gramEnd"/>
      <w:r w:rsidRPr="0053149E">
        <w:rPr>
          <w:sz w:val="24"/>
          <w:szCs w:val="24"/>
        </w:rPr>
        <w:t xml:space="preserve"> found her dead on the ground</w:t>
      </w:r>
      <w:r w:rsidRPr="0053149E">
        <w:rPr>
          <w:sz w:val="24"/>
          <w:szCs w:val="24"/>
        </w:rPr>
        <w:br/>
        <w:t>How can you run when you know?</w:t>
      </w:r>
      <w:r w:rsidRPr="0053149E">
        <w:rPr>
          <w:sz w:val="24"/>
          <w:szCs w:val="24"/>
        </w:rPr>
        <w:br/>
      </w:r>
      <w:r w:rsidRPr="0053149E">
        <w:rPr>
          <w:sz w:val="24"/>
          <w:szCs w:val="24"/>
        </w:rPr>
        <w:br/>
        <w:t>Tin soldiers and Nixon coming</w:t>
      </w:r>
      <w:proofErr w:type="gramStart"/>
      <w:r w:rsidRPr="0053149E">
        <w:rPr>
          <w:sz w:val="24"/>
          <w:szCs w:val="24"/>
        </w:rPr>
        <w:t>,</w:t>
      </w:r>
      <w:proofErr w:type="gramEnd"/>
      <w:r w:rsidRPr="0053149E">
        <w:rPr>
          <w:sz w:val="24"/>
          <w:szCs w:val="24"/>
        </w:rPr>
        <w:br/>
        <w:t>We're finally on our own.</w:t>
      </w:r>
      <w:r w:rsidRPr="0053149E">
        <w:rPr>
          <w:sz w:val="24"/>
          <w:szCs w:val="24"/>
        </w:rPr>
        <w:br/>
        <w:t>This summer I hear the drumming</w:t>
      </w:r>
      <w:proofErr w:type="gramStart"/>
      <w:r w:rsidRPr="0053149E">
        <w:rPr>
          <w:sz w:val="24"/>
          <w:szCs w:val="24"/>
        </w:rPr>
        <w:t>,</w:t>
      </w:r>
      <w:proofErr w:type="gramEnd"/>
      <w:r w:rsidRPr="0053149E">
        <w:rPr>
          <w:sz w:val="24"/>
          <w:szCs w:val="24"/>
        </w:rPr>
        <w:br/>
        <w:t xml:space="preserve">Four dead in </w:t>
      </w:r>
      <w:smartTag w:uri="urn:schemas-microsoft-com:office:smarttags" w:element="place">
        <w:smartTag w:uri="urn:schemas-microsoft-com:office:smarttags" w:element="State">
          <w:r w:rsidRPr="0053149E">
            <w:rPr>
              <w:sz w:val="24"/>
              <w:szCs w:val="24"/>
            </w:rPr>
            <w:t>Ohio</w:t>
          </w:r>
        </w:smartTag>
      </w:smartTag>
      <w:r w:rsidRPr="0053149E">
        <w:rPr>
          <w:sz w:val="24"/>
          <w:szCs w:val="24"/>
        </w:rPr>
        <w:t>.</w:t>
      </w:r>
    </w:p>
    <w:p w:rsidR="00CA5972" w:rsidRDefault="00CA5972">
      <w:r>
        <w:br w:type="page"/>
      </w:r>
    </w:p>
    <w:p w:rsidR="00CA5972" w:rsidRDefault="003F2F52" w:rsidP="00CA5972">
      <w:pPr>
        <w:jc w:val="center"/>
        <w:rPr>
          <w:b/>
          <w:i/>
          <w:u w:val="single"/>
        </w:rPr>
      </w:pPr>
      <w:r>
        <w:rPr>
          <w:b/>
          <w:i/>
          <w:u w:val="single"/>
        </w:rPr>
        <w:lastRenderedPageBreak/>
        <w:t>House Judiciary Committee’s Conclusion on Impeachment, 1974</w:t>
      </w:r>
    </w:p>
    <w:p w:rsidR="003F2F52" w:rsidRDefault="003F2F52" w:rsidP="003F2F52">
      <w:pPr>
        <w:pStyle w:val="NormalWeb"/>
      </w:pPr>
      <w:r>
        <w:t>. . . .</w:t>
      </w:r>
      <w:r w:rsidRPr="003F2F52">
        <w:t xml:space="preserve"> </w:t>
      </w:r>
      <w:r>
        <w:t xml:space="preserve">This finding is the only one that can explain the President's involvement in a pattern on undisputed acts that occurred after the break-in and that cannot otherwise be rationally explained. </w:t>
      </w:r>
    </w:p>
    <w:p w:rsidR="003F2F52" w:rsidRDefault="003F2F52" w:rsidP="003F2F52">
      <w:pPr>
        <w:pStyle w:val="NormalWeb"/>
      </w:pPr>
      <w:r>
        <w:t xml:space="preserve">1. The President's decision on June 20, 1972, not to meet with his Attorney General, his chief of staff, his counsel, his campaign director, and his assistant, John Ehrlichman, whom he had put in charge of the investigation-when the subject of their meeting was the Watergate matter. </w:t>
      </w:r>
    </w:p>
    <w:p w:rsidR="003F2F52" w:rsidRDefault="003F2F52" w:rsidP="003F2F52">
      <w:pPr>
        <w:pStyle w:val="NormalWeb"/>
      </w:pPr>
      <w:r>
        <w:t xml:space="preserve">2. The erasure of that portion of the recording of the President's conversation with White House chief of staff H. R. Haldeman on June 20, 1972, which dealt with Watergate-when the President stated that the tapes had been under his "sole and personal control." </w:t>
      </w:r>
    </w:p>
    <w:p w:rsidR="003F2F52" w:rsidRDefault="003F2F52" w:rsidP="003F2F52">
      <w:pPr>
        <w:pStyle w:val="NormalWeb"/>
      </w:pPr>
      <w:r>
        <w:t xml:space="preserve">3. The President's public denial on June 22, 1972, of the involvement of members of the Committee for the Re-election of the President [CREEP] or of the White House staff in the Watergate burglary, in spite of having discussed Watergate, on or before June 22, 1972, with Haldeman, special counsel Charles Colson, and former attorney general John Mitchell [head of CREEP]-all persons aware of that involvement. </w:t>
      </w:r>
    </w:p>
    <w:p w:rsidR="003F2F52" w:rsidRDefault="003F2F52" w:rsidP="003F2F52">
      <w:pPr>
        <w:pStyle w:val="NormalWeb"/>
      </w:pPr>
      <w:r>
        <w:t xml:space="preserve">4. The President's directive to Haldeman on June 23, 1972, to have the CIA request the FBI to curtail its Watergate investigation. </w:t>
      </w:r>
    </w:p>
    <w:p w:rsidR="003F2F52" w:rsidRDefault="003F2F52" w:rsidP="003F2F52">
      <w:pPr>
        <w:pStyle w:val="NormalWeb"/>
      </w:pPr>
      <w:r>
        <w:t xml:space="preserve">5. The President's refusal, on July 6, 1972, to inquire and inform himself what Patrick Gray, Acting Director of the FBI, meant by his warning that some of the President's aides were "trying to mortally wound him." </w:t>
      </w:r>
    </w:p>
    <w:p w:rsidR="003F2F52" w:rsidRDefault="003F2F52" w:rsidP="003F2F52">
      <w:pPr>
        <w:pStyle w:val="NormalWeb"/>
      </w:pPr>
      <w:r>
        <w:t xml:space="preserve">6. The President's discussion with Erlichman on July 8, 1972, of clemency for the Watergate burglars, more than two months before the return of any indictments. </w:t>
      </w:r>
    </w:p>
    <w:p w:rsidR="003F2F52" w:rsidRDefault="003F2F52" w:rsidP="003F2F52">
      <w:pPr>
        <w:pStyle w:val="NormalWeb"/>
      </w:pPr>
      <w:r>
        <w:t xml:space="preserve">7. The President's public statement on August 29, 1972, a statement later shown to be untrue, that an investigation by [White House counsel] John Dean "indicates no one in the White House staff, no one in the Administration, presently employed, was involved in this very bizarre incident." </w:t>
      </w:r>
    </w:p>
    <w:p w:rsidR="003F2F52" w:rsidRDefault="003F2F52" w:rsidP="003F2F52">
      <w:pPr>
        <w:pStyle w:val="NormalWeb"/>
      </w:pPr>
      <w:r>
        <w:t xml:space="preserve">8. The President's statement to Dean on September 14, 1972, the day that the Watergate indictments were returned without naming high CRP [CREEP] and White House officials, that Dean had handled his work skillfully, "putting your fingers in the dike every time that leaks have sprung here and sprung there," and that "you just try to button it up as well as you can and hope for the best." . . . </w:t>
      </w:r>
    </w:p>
    <w:p w:rsidR="003F2F52" w:rsidRDefault="003F2F52" w:rsidP="003F2F52">
      <w:pPr>
        <w:pStyle w:val="NormalWeb"/>
      </w:pPr>
      <w:r>
        <w:t xml:space="preserve">In addition to this evidence, there was before the Committee the following evidence: </w:t>
      </w:r>
    </w:p>
    <w:p w:rsidR="003F2F52" w:rsidRDefault="003F2F52" w:rsidP="003F2F52">
      <w:pPr>
        <w:pStyle w:val="NormalWeb"/>
      </w:pPr>
      <w:r>
        <w:t xml:space="preserve">1. Beginning immediately after June 17, 1972, the involvement of each of the President's top aides and political associates, Haldeman, Mitchell, Ehrlichman, Colson, Dena, LaRue, Mardinan, Magruder, in the Watergate coverup. . . . </w:t>
      </w:r>
    </w:p>
    <w:p w:rsidR="003F2F52" w:rsidRDefault="003F2F52" w:rsidP="003F2F52">
      <w:pPr>
        <w:pStyle w:val="NormalWeb"/>
      </w:pPr>
      <w:proofErr w:type="gramStart"/>
      <w:r>
        <w:t>Finally ,</w:t>
      </w:r>
      <w:proofErr w:type="gramEnd"/>
      <w:r>
        <w:t xml:space="preserve"> there was before the Committee a record of public statement by the President between June 22, 1972 and June 9, 1974, deliberately contrived to deceive the courts, the Department of Justice, the Congress and the American people. </w:t>
      </w:r>
    </w:p>
    <w:p w:rsidR="003F2F52" w:rsidRDefault="003F2F52" w:rsidP="003F2F52">
      <w:pPr>
        <w:pStyle w:val="NormalWeb"/>
      </w:pPr>
      <w:r>
        <w:t xml:space="preserve">President Nixon's course of conduct following the Watergate break-in, as described in Article I, caused action not only by his subordinates but by the agencies of the United States, including the Department of Justice, the FBI, and the CIA. It required perjury, destruction of evidence, obstruction of justice, all crimes. But, most important, it required deliberate, contrived, and continuing deception of the American people. </w:t>
      </w:r>
    </w:p>
    <w:p w:rsidR="003F2F52" w:rsidRDefault="003F2F52" w:rsidP="003F2F52">
      <w:pPr>
        <w:pStyle w:val="NormalWeb"/>
      </w:pPr>
      <w:r>
        <w:lastRenderedPageBreak/>
        <w:t xml:space="preserve">President Nixon's actions resulted in manifest injury to the confidence of the nation and great prejudice to the cause of law and justice, and was subversive of constitutional government. His actions were contrary to his trust as President and unmindful of the solemn duties of his high office. It was this serious violation of Richard M. Nixon's constitutional obligations as President, and not the fact that violations of Federal criminal statutes occurred, that lies at the heart of Article I. </w:t>
      </w:r>
    </w:p>
    <w:p w:rsidR="003F2F52" w:rsidRDefault="003F2F52" w:rsidP="003F2F52">
      <w:pPr>
        <w:pStyle w:val="NormalWeb"/>
      </w:pPr>
      <w:r>
        <w:t>The Committee find, based upon clear and convincing evidence, that this conduct, detailed in the foregoing pages of this report, constitutes "high crimes and misdemeanors" as that term is used in Article II, Section 4 of the Constitution. Therefore, the Committee recommends that the House of Representatives exercise its constitutional power to impeach Richard M. Nixon.</w:t>
      </w:r>
    </w:p>
    <w:p w:rsidR="003F2F52" w:rsidRPr="003F2F52" w:rsidRDefault="003F2F52" w:rsidP="003F2F52"/>
    <w:sectPr w:rsidR="003F2F52" w:rsidRPr="003F2F52" w:rsidSect="008920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9201D"/>
    <w:rsid w:val="0006545D"/>
    <w:rsid w:val="002D46C9"/>
    <w:rsid w:val="003F2F52"/>
    <w:rsid w:val="00453ADA"/>
    <w:rsid w:val="00462532"/>
    <w:rsid w:val="004C7380"/>
    <w:rsid w:val="005F48B1"/>
    <w:rsid w:val="007454E8"/>
    <w:rsid w:val="0089201D"/>
    <w:rsid w:val="00903D80"/>
    <w:rsid w:val="00AE567B"/>
    <w:rsid w:val="00B77341"/>
    <w:rsid w:val="00CA5972"/>
    <w:rsid w:val="00D9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5:docId w15:val="{2ED90AA3-A7BA-43E1-8E25-C5D09243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4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45D"/>
    <w:rPr>
      <w:color w:val="0000FF" w:themeColor="hyperlink"/>
      <w:u w:val="single"/>
    </w:rPr>
  </w:style>
  <w:style w:type="character" w:styleId="HTMLCite">
    <w:name w:val="HTML Cite"/>
    <w:basedOn w:val="DefaultParagraphFont"/>
    <w:uiPriority w:val="99"/>
    <w:semiHidden/>
    <w:unhideWhenUsed/>
    <w:rsid w:val="0006545D"/>
    <w:rPr>
      <w:i w:val="0"/>
      <w:iCs w:val="0"/>
      <w:color w:val="009933"/>
    </w:rPr>
  </w:style>
  <w:style w:type="character" w:styleId="Emphasis">
    <w:name w:val="Emphasis"/>
    <w:basedOn w:val="DefaultParagraphFont"/>
    <w:uiPriority w:val="20"/>
    <w:qFormat/>
    <w:rsid w:val="002D46C9"/>
    <w:rPr>
      <w:i/>
      <w:iCs/>
    </w:rPr>
  </w:style>
  <w:style w:type="paragraph" w:styleId="BalloonText">
    <w:name w:val="Balloon Text"/>
    <w:basedOn w:val="Normal"/>
    <w:link w:val="BalloonTextChar"/>
    <w:uiPriority w:val="99"/>
    <w:semiHidden/>
    <w:unhideWhenUsed/>
    <w:rsid w:val="002D4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C9"/>
    <w:rPr>
      <w:rFonts w:ascii="Tahoma" w:hAnsi="Tahoma" w:cs="Tahoma"/>
      <w:sz w:val="16"/>
      <w:szCs w:val="16"/>
    </w:rPr>
  </w:style>
  <w:style w:type="paragraph" w:customStyle="1" w:styleId="cnt1">
    <w:name w:val="cnt1"/>
    <w:basedOn w:val="Normal"/>
    <w:rsid w:val="00CA5972"/>
    <w:pPr>
      <w:spacing w:before="240" w:after="240" w:line="375" w:lineRule="atLeast"/>
      <w:ind w:left="168"/>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03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6046">
      <w:bodyDiv w:val="1"/>
      <w:marLeft w:val="0"/>
      <w:marRight w:val="0"/>
      <w:marTop w:val="0"/>
      <w:marBottom w:val="0"/>
      <w:divBdr>
        <w:top w:val="none" w:sz="0" w:space="0" w:color="auto"/>
        <w:left w:val="none" w:sz="0" w:space="0" w:color="auto"/>
        <w:bottom w:val="none" w:sz="0" w:space="0" w:color="auto"/>
        <w:right w:val="none" w:sz="0" w:space="0" w:color="auto"/>
      </w:divBdr>
      <w:divsChild>
        <w:div w:id="1643538042">
          <w:marLeft w:val="300"/>
          <w:marRight w:val="300"/>
          <w:marTop w:val="300"/>
          <w:marBottom w:val="300"/>
          <w:divBdr>
            <w:top w:val="none" w:sz="0" w:space="0" w:color="auto"/>
            <w:left w:val="none" w:sz="0" w:space="0" w:color="auto"/>
            <w:bottom w:val="none" w:sz="0" w:space="0" w:color="auto"/>
            <w:right w:val="none" w:sz="0" w:space="0" w:color="auto"/>
          </w:divBdr>
          <w:divsChild>
            <w:div w:id="1538422459">
              <w:blockQuote w:val="1"/>
              <w:marLeft w:val="600"/>
              <w:marRight w:val="600"/>
              <w:marTop w:val="100"/>
              <w:marBottom w:val="100"/>
              <w:divBdr>
                <w:top w:val="none" w:sz="0" w:space="0" w:color="auto"/>
                <w:left w:val="none" w:sz="0" w:space="0" w:color="auto"/>
                <w:bottom w:val="none" w:sz="0" w:space="0" w:color="auto"/>
                <w:right w:val="none" w:sz="0" w:space="0" w:color="auto"/>
              </w:divBdr>
            </w:div>
            <w:div w:id="210507796">
              <w:blockQuote w:val="1"/>
              <w:marLeft w:val="600"/>
              <w:marRight w:val="600"/>
              <w:marTop w:val="100"/>
              <w:marBottom w:val="100"/>
              <w:divBdr>
                <w:top w:val="none" w:sz="0" w:space="0" w:color="auto"/>
                <w:left w:val="none" w:sz="0" w:space="0" w:color="auto"/>
                <w:bottom w:val="none" w:sz="0" w:space="0" w:color="auto"/>
                <w:right w:val="none" w:sz="0" w:space="0" w:color="auto"/>
              </w:divBdr>
            </w:div>
            <w:div w:id="1454976425">
              <w:blockQuote w:val="1"/>
              <w:marLeft w:val="600"/>
              <w:marRight w:val="600"/>
              <w:marTop w:val="100"/>
              <w:marBottom w:val="100"/>
              <w:divBdr>
                <w:top w:val="none" w:sz="0" w:space="0" w:color="auto"/>
                <w:left w:val="none" w:sz="0" w:space="0" w:color="auto"/>
                <w:bottom w:val="none" w:sz="0" w:space="0" w:color="auto"/>
                <w:right w:val="none" w:sz="0" w:space="0" w:color="auto"/>
              </w:divBdr>
            </w:div>
            <w:div w:id="1251548915">
              <w:blockQuote w:val="1"/>
              <w:marLeft w:val="600"/>
              <w:marRight w:val="600"/>
              <w:marTop w:val="100"/>
              <w:marBottom w:val="100"/>
              <w:divBdr>
                <w:top w:val="none" w:sz="0" w:space="0" w:color="auto"/>
                <w:left w:val="none" w:sz="0" w:space="0" w:color="auto"/>
                <w:bottom w:val="none" w:sz="0" w:space="0" w:color="auto"/>
                <w:right w:val="none" w:sz="0" w:space="0" w:color="auto"/>
              </w:divBdr>
            </w:div>
          </w:divsChild>
        </w:div>
      </w:divsChild>
    </w:div>
    <w:div w:id="338167480">
      <w:bodyDiv w:val="1"/>
      <w:marLeft w:val="0"/>
      <w:marRight w:val="0"/>
      <w:marTop w:val="0"/>
      <w:marBottom w:val="0"/>
      <w:divBdr>
        <w:top w:val="none" w:sz="0" w:space="0" w:color="auto"/>
        <w:left w:val="none" w:sz="0" w:space="0" w:color="auto"/>
        <w:bottom w:val="none" w:sz="0" w:space="0" w:color="auto"/>
        <w:right w:val="none" w:sz="0" w:space="0" w:color="auto"/>
      </w:divBdr>
      <w:divsChild>
        <w:div w:id="124586429">
          <w:marLeft w:val="0"/>
          <w:marRight w:val="0"/>
          <w:marTop w:val="225"/>
          <w:marBottom w:val="330"/>
          <w:divBdr>
            <w:top w:val="none" w:sz="0" w:space="0" w:color="auto"/>
            <w:left w:val="none" w:sz="0" w:space="0" w:color="auto"/>
            <w:bottom w:val="none" w:sz="0" w:space="0" w:color="auto"/>
            <w:right w:val="none" w:sz="0" w:space="0" w:color="auto"/>
          </w:divBdr>
        </w:div>
      </w:divsChild>
    </w:div>
    <w:div w:id="681976592">
      <w:bodyDiv w:val="1"/>
      <w:marLeft w:val="0"/>
      <w:marRight w:val="0"/>
      <w:marTop w:val="0"/>
      <w:marBottom w:val="0"/>
      <w:divBdr>
        <w:top w:val="none" w:sz="0" w:space="0" w:color="auto"/>
        <w:left w:val="none" w:sz="0" w:space="0" w:color="auto"/>
        <w:bottom w:val="none" w:sz="0" w:space="0" w:color="auto"/>
        <w:right w:val="none" w:sz="0" w:space="0" w:color="auto"/>
      </w:divBdr>
      <w:divsChild>
        <w:div w:id="193870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X8JPPpFmeYY"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youtube.com/watch?v=smEqnnklfYs" TargetMode="External"/><Relationship Id="rId10" Type="http://schemas.openxmlformats.org/officeDocument/2006/relationships/theme" Target="theme/theme1.xml"/><Relationship Id="rId4" Type="http://schemas.openxmlformats.org/officeDocument/2006/relationships/hyperlink" Target="http://archive.org/details/MLKDrea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Brandon Valley School District</Company>
  <LinksUpToDate>false</LinksUpToDate>
  <CharactersWithSpaces>15625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ristyj</dc:creator>
  <cp:keywords/>
  <dc:description/>
  <cp:lastModifiedBy>Risty  Jeremy</cp:lastModifiedBy>
  <cp:revision>8</cp:revision>
  <cp:lastPrinted>2013-04-15T20:07:00Z</cp:lastPrinted>
  <dcterms:created xsi:type="dcterms:W3CDTF">2012-11-02T12:58:00Z</dcterms:created>
  <dcterms:modified xsi:type="dcterms:W3CDTF">2016-03-01T14:22:00Z</dcterms:modified>
</cp:coreProperties>
</file>